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D7D7B" w14:textId="50F1C804" w:rsidR="00645801" w:rsidRDefault="00645801" w:rsidP="00645801">
      <w:pPr>
        <w:ind w:left="80"/>
        <w:rPr>
          <w:rFonts w:ascii="PT Serif" w:hAnsi="PT Serif"/>
          <w:i/>
          <w:iCs/>
          <w:sz w:val="36"/>
          <w:szCs w:val="36"/>
        </w:rPr>
      </w:pPr>
      <w:r w:rsidRPr="00645801">
        <w:rPr>
          <w:rFonts w:ascii="PT Serif" w:hAnsi="PT Serif"/>
          <w:i/>
          <w:iCs/>
          <w:sz w:val="36"/>
          <w:szCs w:val="36"/>
        </w:rPr>
        <w:drawing>
          <wp:inline distT="0" distB="0" distL="0" distR="0" wp14:anchorId="669327BA" wp14:editId="36680873">
            <wp:extent cx="2108200" cy="6477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08200" cy="647700"/>
                    </a:xfrm>
                    <a:prstGeom prst="rect">
                      <a:avLst/>
                    </a:prstGeom>
                  </pic:spPr>
                </pic:pic>
              </a:graphicData>
            </a:graphic>
          </wp:inline>
        </w:drawing>
      </w:r>
      <w:r w:rsidR="004658C0">
        <w:rPr>
          <w:rFonts w:ascii="PT Serif" w:hAnsi="PT Serif"/>
          <w:i/>
          <w:iCs/>
          <w:sz w:val="36"/>
          <w:szCs w:val="36"/>
        </w:rPr>
        <w:t xml:space="preserve">                                          </w:t>
      </w:r>
      <w:r>
        <w:rPr>
          <w:rFonts w:ascii="PT Serif" w:hAnsi="PT Serif"/>
          <w:i/>
          <w:iCs/>
          <w:sz w:val="36"/>
          <w:szCs w:val="36"/>
        </w:rPr>
        <w:t xml:space="preserve">    </w:t>
      </w:r>
    </w:p>
    <w:p w14:paraId="51DFB580" w14:textId="69EC148E" w:rsidR="004658C0" w:rsidRPr="004658C0" w:rsidRDefault="004658C0" w:rsidP="00645801">
      <w:pPr>
        <w:ind w:left="80"/>
        <w:jc w:val="right"/>
        <w:rPr>
          <w:rFonts w:ascii="PT Serif" w:hAnsi="PT Serif"/>
          <w:i/>
          <w:iCs/>
          <w:sz w:val="36"/>
          <w:szCs w:val="36"/>
        </w:rPr>
      </w:pPr>
      <w:r w:rsidRPr="004658C0">
        <w:rPr>
          <w:rFonts w:ascii="PT Serif" w:hAnsi="PT Serif"/>
          <w:i/>
          <w:iCs/>
          <w:sz w:val="36"/>
          <w:szCs w:val="36"/>
        </w:rPr>
        <w:t>Toulouse au fil de l’eau</w:t>
      </w:r>
    </w:p>
    <w:p w14:paraId="130CB195" w14:textId="22B9EDAC" w:rsidR="000703D6" w:rsidRPr="004658C0" w:rsidRDefault="001718D7" w:rsidP="00AD0C46">
      <w:pPr>
        <w:jc w:val="right"/>
        <w:rPr>
          <w:rFonts w:ascii="PT Serif" w:hAnsi="PT Serif"/>
          <w:sz w:val="36"/>
          <w:szCs w:val="36"/>
        </w:rPr>
      </w:pPr>
      <w:r w:rsidRPr="004658C0">
        <w:rPr>
          <w:rFonts w:ascii="PT Serif" w:hAnsi="PT Serif"/>
          <w:sz w:val="36"/>
          <w:szCs w:val="36"/>
        </w:rPr>
        <w:t>DESCRIPTIF DU PARCOURS</w:t>
      </w:r>
    </w:p>
    <w:p w14:paraId="6D1ED7E0" w14:textId="2E68D081" w:rsidR="008D3F06" w:rsidRPr="00AD0C46" w:rsidRDefault="008D3F06" w:rsidP="00AD0C46">
      <w:pPr>
        <w:jc w:val="right"/>
        <w:rPr>
          <w:sz w:val="36"/>
          <w:szCs w:val="36"/>
        </w:rPr>
      </w:pPr>
      <w:r w:rsidRPr="008D3F06">
        <w:rPr>
          <w:sz w:val="36"/>
          <w:szCs w:val="36"/>
        </w:rPr>
        <w:drawing>
          <wp:inline distT="0" distB="0" distL="0" distR="0" wp14:anchorId="0613BBEF" wp14:editId="3E1D75D9">
            <wp:extent cx="3060700" cy="63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60700" cy="63500"/>
                    </a:xfrm>
                    <a:prstGeom prst="rect">
                      <a:avLst/>
                    </a:prstGeom>
                  </pic:spPr>
                </pic:pic>
              </a:graphicData>
            </a:graphic>
          </wp:inline>
        </w:drawing>
      </w:r>
    </w:p>
    <w:p w14:paraId="5B0224C8" w14:textId="7C49F434" w:rsidR="001718D7" w:rsidRDefault="001718D7"/>
    <w:p w14:paraId="583C4979" w14:textId="77777777" w:rsidR="004658C0" w:rsidRDefault="004658C0" w:rsidP="004658C0">
      <w:pPr>
        <w:pStyle w:val="labeur"/>
        <w:spacing w:before="57"/>
        <w:ind w:left="0" w:right="1978"/>
        <w:rPr>
          <w:b/>
          <w:bCs/>
          <w:caps/>
          <w:color w:val="E50000"/>
          <w:sz w:val="24"/>
          <w:szCs w:val="24"/>
        </w:rPr>
      </w:pPr>
    </w:p>
    <w:p w14:paraId="431CFBA8" w14:textId="1BDB8B24" w:rsidR="001718D7" w:rsidRDefault="001718D7" w:rsidP="004658C0">
      <w:pPr>
        <w:pStyle w:val="labeur"/>
        <w:spacing w:before="57"/>
        <w:ind w:left="0" w:right="1978"/>
        <w:rPr>
          <w:b/>
          <w:bCs/>
          <w:caps/>
          <w:color w:val="E50000"/>
          <w:sz w:val="24"/>
          <w:szCs w:val="24"/>
        </w:rPr>
      </w:pPr>
      <w:r>
        <w:rPr>
          <w:b/>
          <w:bCs/>
          <w:caps/>
          <w:color w:val="E50000"/>
          <w:sz w:val="24"/>
          <w:szCs w:val="24"/>
        </w:rPr>
        <w:t>Séquence 1 : Jardin Raymond VI / Bazacle</w:t>
      </w:r>
    </w:p>
    <w:p w14:paraId="7706F3CC" w14:textId="7FA54A14" w:rsidR="001718D7" w:rsidRDefault="001718D7" w:rsidP="004658C0">
      <w:pPr>
        <w:pStyle w:val="labeur"/>
        <w:spacing w:before="57"/>
        <w:ind w:left="0" w:right="1978"/>
      </w:pPr>
      <w:r>
        <w:rPr>
          <w:b/>
          <w:bCs/>
          <w:sz w:val="24"/>
          <w:szCs w:val="24"/>
        </w:rPr>
        <w:t>L’eau est nécessaire et sa proximité est recherchée</w:t>
      </w:r>
    </w:p>
    <w:p w14:paraId="60C3C0A9" w14:textId="77777777" w:rsidR="001718D7" w:rsidRDefault="001718D7" w:rsidP="004658C0">
      <w:pPr>
        <w:pStyle w:val="labeur"/>
        <w:numPr>
          <w:ilvl w:val="0"/>
          <w:numId w:val="1"/>
        </w:numPr>
        <w:spacing w:before="57"/>
        <w:ind w:right="1978"/>
      </w:pPr>
      <w:r>
        <w:t>Dans le jardin des abattoirs…</w:t>
      </w:r>
    </w:p>
    <w:p w14:paraId="50C2EE6F" w14:textId="77777777" w:rsidR="001718D7" w:rsidRDefault="001718D7" w:rsidP="004658C0">
      <w:pPr>
        <w:pStyle w:val="labeur"/>
        <w:spacing w:before="57"/>
        <w:ind w:left="0" w:right="1978"/>
      </w:pPr>
      <w:r>
        <w:t>La découverte du fleuve relève d’une véritable mise en scène. Le fleuve se fait entendre avant d’être vu.  Les jeunes abordent le fleuve à partir d’une approche sensible qui se fonde sur les ambiances sonores.</w:t>
      </w:r>
    </w:p>
    <w:p w14:paraId="3C2A7024" w14:textId="6821F273" w:rsidR="001718D7" w:rsidRDefault="001718D7" w:rsidP="004658C0">
      <w:pPr>
        <w:pStyle w:val="labeur"/>
        <w:numPr>
          <w:ilvl w:val="0"/>
          <w:numId w:val="2"/>
        </w:numPr>
        <w:spacing w:before="57"/>
        <w:ind w:right="1978"/>
      </w:pPr>
      <w:r>
        <w:t xml:space="preserve">Sur le belvédère, face au </w:t>
      </w:r>
      <w:proofErr w:type="spellStart"/>
      <w:r>
        <w:t>Bazacle</w:t>
      </w:r>
      <w:proofErr w:type="spellEnd"/>
      <w:r>
        <w:t>…</w:t>
      </w:r>
    </w:p>
    <w:p w14:paraId="03DA09A4" w14:textId="77777777" w:rsidR="001718D7" w:rsidRDefault="001718D7" w:rsidP="004658C0">
      <w:pPr>
        <w:pStyle w:val="labeur"/>
        <w:spacing w:before="57"/>
        <w:ind w:left="0" w:right="1978"/>
      </w:pPr>
      <w:r>
        <w:t>Observation du paysage. Les élèves identifient les principaux repères et lignes du paysage.  Ils découvrent de visu les ressources majeures liées au fleuve.</w:t>
      </w:r>
    </w:p>
    <w:p w14:paraId="5EB08DDA" w14:textId="77777777" w:rsidR="001718D7" w:rsidRPr="00AD0C46" w:rsidRDefault="001718D7" w:rsidP="004658C0">
      <w:pPr>
        <w:pStyle w:val="labeur"/>
        <w:spacing w:before="57"/>
        <w:ind w:left="0" w:right="1978"/>
        <w:rPr>
          <w:sz w:val="10"/>
          <w:szCs w:val="10"/>
        </w:rPr>
      </w:pPr>
    </w:p>
    <w:p w14:paraId="363EC3A8" w14:textId="77777777" w:rsidR="001718D7" w:rsidRDefault="001718D7" w:rsidP="004658C0">
      <w:pPr>
        <w:pStyle w:val="labeur"/>
        <w:spacing w:before="57"/>
        <w:ind w:left="0" w:right="1978"/>
        <w:rPr>
          <w:b/>
          <w:bCs/>
          <w:caps/>
          <w:color w:val="E50000"/>
          <w:sz w:val="24"/>
          <w:szCs w:val="24"/>
        </w:rPr>
      </w:pPr>
      <w:r>
        <w:rPr>
          <w:b/>
          <w:bCs/>
          <w:caps/>
          <w:color w:val="E50000"/>
          <w:sz w:val="24"/>
          <w:szCs w:val="24"/>
        </w:rPr>
        <w:t>Séquence 2 : Le Port Viguerie</w:t>
      </w:r>
    </w:p>
    <w:p w14:paraId="03BC6CBE" w14:textId="0317E478" w:rsidR="001718D7" w:rsidRPr="001718D7" w:rsidRDefault="001718D7" w:rsidP="004658C0">
      <w:pPr>
        <w:pStyle w:val="labeur"/>
        <w:spacing w:before="57"/>
        <w:ind w:left="0" w:right="1978"/>
        <w:rPr>
          <w:b/>
          <w:bCs/>
          <w:sz w:val="24"/>
          <w:szCs w:val="24"/>
        </w:rPr>
      </w:pPr>
      <w:r>
        <w:rPr>
          <w:b/>
          <w:bCs/>
          <w:sz w:val="24"/>
          <w:szCs w:val="24"/>
        </w:rPr>
        <w:t>Les contraintes d’inondation</w:t>
      </w:r>
    </w:p>
    <w:p w14:paraId="6EA478FB" w14:textId="77777777" w:rsidR="001718D7" w:rsidRDefault="001718D7" w:rsidP="004658C0">
      <w:pPr>
        <w:pStyle w:val="labeur"/>
        <w:numPr>
          <w:ilvl w:val="0"/>
          <w:numId w:val="3"/>
        </w:numPr>
        <w:spacing w:before="57"/>
        <w:ind w:right="1978"/>
      </w:pPr>
      <w:r>
        <w:t>Sur la digue du port Viguerie</w:t>
      </w:r>
    </w:p>
    <w:p w14:paraId="36C22BB9" w14:textId="77777777" w:rsidR="001718D7" w:rsidRDefault="001718D7" w:rsidP="004658C0">
      <w:pPr>
        <w:pStyle w:val="labeur"/>
        <w:spacing w:before="57"/>
        <w:ind w:left="0" w:right="1978"/>
      </w:pPr>
      <w:r>
        <w:t>. Les différences altimétriques de chaque rive nous apprennent comment les habitants d’autrefois ont cherché à se protéger des risques.</w:t>
      </w:r>
    </w:p>
    <w:p w14:paraId="52141978" w14:textId="4DC8D354" w:rsidR="001718D7" w:rsidRDefault="001718D7" w:rsidP="004658C0">
      <w:pPr>
        <w:pStyle w:val="labeur"/>
        <w:spacing w:before="57"/>
        <w:ind w:left="0" w:right="1978"/>
      </w:pPr>
      <w:r>
        <w:t>. En observant, les différentes protections sont énumérables : digue seule, digue + quai, talus avec stabilisation végétale, enrochement…</w:t>
      </w:r>
    </w:p>
    <w:p w14:paraId="7BF160CC" w14:textId="77777777" w:rsidR="001718D7" w:rsidRDefault="001718D7" w:rsidP="004658C0">
      <w:pPr>
        <w:pStyle w:val="labeur"/>
        <w:spacing w:before="57"/>
        <w:ind w:left="0" w:right="1978"/>
      </w:pPr>
      <w:r>
        <w:t>.  Les élèves questionnent l’urbanisation des deux rives au regard des risques de crues.</w:t>
      </w:r>
    </w:p>
    <w:p w14:paraId="7507866D" w14:textId="77777777" w:rsidR="001718D7" w:rsidRDefault="001718D7" w:rsidP="004658C0">
      <w:pPr>
        <w:pStyle w:val="labeur"/>
        <w:spacing w:before="57"/>
        <w:ind w:left="0" w:right="1978"/>
      </w:pPr>
    </w:p>
    <w:p w14:paraId="3CBCFE68" w14:textId="5E53C9BA" w:rsidR="001718D7" w:rsidRDefault="001718D7" w:rsidP="004658C0">
      <w:pPr>
        <w:pStyle w:val="labeur"/>
        <w:spacing w:before="57"/>
        <w:ind w:left="0" w:right="1978"/>
        <w:rPr>
          <w:b/>
          <w:bCs/>
          <w:caps/>
          <w:color w:val="E50000"/>
          <w:sz w:val="24"/>
          <w:szCs w:val="24"/>
        </w:rPr>
      </w:pPr>
      <w:r>
        <w:rPr>
          <w:b/>
          <w:bCs/>
          <w:caps/>
          <w:color w:val="E50000"/>
          <w:sz w:val="24"/>
          <w:szCs w:val="24"/>
        </w:rPr>
        <w:t xml:space="preserve">Séquence </w:t>
      </w:r>
      <w:r w:rsidR="00AD0C46">
        <w:rPr>
          <w:b/>
          <w:bCs/>
          <w:caps/>
          <w:color w:val="E50000"/>
          <w:sz w:val="24"/>
          <w:szCs w:val="24"/>
        </w:rPr>
        <w:t>3</w:t>
      </w:r>
      <w:r>
        <w:rPr>
          <w:b/>
          <w:bCs/>
          <w:caps/>
          <w:color w:val="E50000"/>
          <w:sz w:val="24"/>
          <w:szCs w:val="24"/>
        </w:rPr>
        <w:t xml:space="preserve"> : Le Port de la Daurade</w:t>
      </w:r>
    </w:p>
    <w:p w14:paraId="6532F992" w14:textId="27D0DE94" w:rsidR="001718D7" w:rsidRPr="00AD0C46" w:rsidRDefault="001718D7" w:rsidP="004658C0">
      <w:pPr>
        <w:pStyle w:val="labeur"/>
        <w:spacing w:before="57"/>
        <w:ind w:left="0" w:right="1978"/>
        <w:rPr>
          <w:b/>
          <w:bCs/>
          <w:sz w:val="24"/>
          <w:szCs w:val="24"/>
        </w:rPr>
      </w:pPr>
      <w:r>
        <w:rPr>
          <w:b/>
          <w:bCs/>
          <w:sz w:val="24"/>
          <w:szCs w:val="24"/>
        </w:rPr>
        <w:t>Vivre avec le fleuve, d’hier à aujourd’hui…</w:t>
      </w:r>
    </w:p>
    <w:p w14:paraId="6F9D51E5" w14:textId="2481EF95" w:rsidR="001718D7" w:rsidRDefault="001718D7" w:rsidP="004658C0">
      <w:pPr>
        <w:pStyle w:val="labeur"/>
        <w:spacing w:before="57"/>
        <w:ind w:left="0" w:right="1978"/>
      </w:pPr>
      <w:r>
        <w:t>Le passage par la Daurade permet d’avoir un aperçu de l’évolution de la relation entre la ville et le fleuve</w:t>
      </w:r>
      <w:r w:rsidR="00AD0C46">
        <w:t xml:space="preserve"> </w:t>
      </w:r>
      <w:r>
        <w:t>: port marchand, parking, place… entre espace recherché, espace délaissé et enfin espace valorisé.</w:t>
      </w:r>
    </w:p>
    <w:p w14:paraId="015BA1B3" w14:textId="07C6048C" w:rsidR="001718D7" w:rsidRDefault="001718D7" w:rsidP="004658C0">
      <w:pPr>
        <w:pStyle w:val="labeur"/>
        <w:spacing w:before="57"/>
        <w:ind w:left="0" w:right="1978"/>
        <w:rPr>
          <w:b/>
          <w:bCs/>
          <w:caps/>
          <w:color w:val="E50000"/>
          <w:sz w:val="24"/>
          <w:szCs w:val="24"/>
        </w:rPr>
      </w:pPr>
    </w:p>
    <w:p w14:paraId="3C46BE0C" w14:textId="69F56C80" w:rsidR="00AD0C46" w:rsidRDefault="00AD0C46" w:rsidP="004658C0">
      <w:pPr>
        <w:pStyle w:val="labeur"/>
        <w:spacing w:before="57"/>
        <w:ind w:left="0" w:right="1978"/>
        <w:rPr>
          <w:b/>
          <w:bCs/>
          <w:caps/>
          <w:color w:val="E50000"/>
          <w:sz w:val="24"/>
          <w:szCs w:val="24"/>
        </w:rPr>
      </w:pPr>
      <w:r>
        <w:rPr>
          <w:b/>
          <w:bCs/>
          <w:caps/>
          <w:color w:val="E50000"/>
          <w:sz w:val="24"/>
          <w:szCs w:val="24"/>
        </w:rPr>
        <w:t xml:space="preserve">Séquence </w:t>
      </w:r>
      <w:r>
        <w:rPr>
          <w:b/>
          <w:bCs/>
          <w:caps/>
          <w:color w:val="E50000"/>
          <w:sz w:val="24"/>
          <w:szCs w:val="24"/>
        </w:rPr>
        <w:t>4</w:t>
      </w:r>
      <w:r>
        <w:rPr>
          <w:b/>
          <w:bCs/>
          <w:caps/>
          <w:color w:val="E50000"/>
          <w:sz w:val="24"/>
          <w:szCs w:val="24"/>
        </w:rPr>
        <w:t xml:space="preserve"> : Le Pont Neuf</w:t>
      </w:r>
    </w:p>
    <w:p w14:paraId="00F59B32" w14:textId="77777777" w:rsidR="00AD0C46" w:rsidRPr="001718D7" w:rsidRDefault="00AD0C46" w:rsidP="004658C0">
      <w:pPr>
        <w:pStyle w:val="labeur"/>
        <w:spacing w:before="57"/>
        <w:ind w:left="0" w:right="1978"/>
        <w:rPr>
          <w:b/>
          <w:bCs/>
          <w:sz w:val="24"/>
          <w:szCs w:val="24"/>
        </w:rPr>
      </w:pPr>
      <w:r>
        <w:rPr>
          <w:b/>
          <w:bCs/>
          <w:sz w:val="24"/>
          <w:szCs w:val="24"/>
        </w:rPr>
        <w:t>Franchir le fleuve</w:t>
      </w:r>
    </w:p>
    <w:p w14:paraId="694F6F8E" w14:textId="77777777" w:rsidR="00AD0C46" w:rsidRDefault="00AD0C46" w:rsidP="004658C0">
      <w:pPr>
        <w:pStyle w:val="labeur"/>
        <w:spacing w:before="57"/>
        <w:ind w:left="0" w:right="1978"/>
      </w:pPr>
      <w:r>
        <w:t>Trois ponts principaux franchissent la Garonne au niveau du centre historique. Ils ont été construits à diverses époques. Ils relèvent de savoir-faire et de techniques constructives bien spécifiques et mettent en œuvre des dispositifs bien spécifiques à leur implantation.</w:t>
      </w:r>
    </w:p>
    <w:p w14:paraId="33570BE5" w14:textId="77777777" w:rsidR="001718D7" w:rsidRDefault="001718D7" w:rsidP="004658C0">
      <w:pPr>
        <w:pStyle w:val="labeur"/>
        <w:spacing w:before="57"/>
        <w:ind w:left="0" w:right="1978"/>
        <w:rPr>
          <w:b/>
          <w:bCs/>
          <w:caps/>
          <w:color w:val="E50000"/>
          <w:sz w:val="24"/>
          <w:szCs w:val="24"/>
        </w:rPr>
      </w:pPr>
      <w:r>
        <w:rPr>
          <w:b/>
          <w:bCs/>
          <w:caps/>
          <w:color w:val="E50000"/>
          <w:sz w:val="24"/>
          <w:szCs w:val="24"/>
        </w:rPr>
        <w:lastRenderedPageBreak/>
        <w:t>Séquence 5 : La Prairie des Filtres</w:t>
      </w:r>
    </w:p>
    <w:p w14:paraId="43C9E96A" w14:textId="12F79721" w:rsidR="001718D7" w:rsidRPr="00AD0C46" w:rsidRDefault="001718D7" w:rsidP="004658C0">
      <w:pPr>
        <w:pStyle w:val="labeur"/>
        <w:spacing w:before="57"/>
        <w:ind w:left="0" w:right="1978"/>
        <w:rPr>
          <w:b/>
          <w:bCs/>
          <w:sz w:val="24"/>
          <w:szCs w:val="24"/>
        </w:rPr>
      </w:pPr>
      <w:r>
        <w:rPr>
          <w:b/>
          <w:bCs/>
          <w:sz w:val="24"/>
          <w:szCs w:val="24"/>
        </w:rPr>
        <w:t>Alimenter la ville en eau potable</w:t>
      </w:r>
    </w:p>
    <w:p w14:paraId="340C67FB" w14:textId="77777777" w:rsidR="001718D7" w:rsidRDefault="001718D7" w:rsidP="004658C0">
      <w:pPr>
        <w:pStyle w:val="labeur"/>
        <w:spacing w:before="57"/>
        <w:ind w:left="0" w:right="1978"/>
      </w:pPr>
      <w:r>
        <w:t>Pompage, filtration / épuration de l’eau, stockage et réseau de distribution sont au programme de cette halte qui permet aussi d’appréhender par un cheminement bien spécifique l’ampleur des dispositifs de protection par rapport aux crues.</w:t>
      </w:r>
    </w:p>
    <w:p w14:paraId="5AFDC985" w14:textId="77777777" w:rsidR="001718D7" w:rsidRDefault="001718D7" w:rsidP="004658C0">
      <w:pPr>
        <w:pStyle w:val="labeur"/>
        <w:spacing w:before="57"/>
        <w:ind w:left="0" w:right="1978"/>
      </w:pPr>
    </w:p>
    <w:p w14:paraId="53DF8866" w14:textId="2F43394B" w:rsidR="001718D7" w:rsidRDefault="001718D7" w:rsidP="004658C0">
      <w:pPr>
        <w:pStyle w:val="labeur"/>
        <w:spacing w:before="57"/>
        <w:ind w:left="0" w:right="1978"/>
        <w:rPr>
          <w:b/>
          <w:bCs/>
          <w:caps/>
          <w:color w:val="E50000"/>
          <w:sz w:val="24"/>
          <w:szCs w:val="24"/>
        </w:rPr>
      </w:pPr>
      <w:r>
        <w:rPr>
          <w:b/>
          <w:bCs/>
          <w:caps/>
          <w:color w:val="E50000"/>
          <w:sz w:val="24"/>
          <w:szCs w:val="24"/>
        </w:rPr>
        <w:t>Séquence 6 : La digue Saint</w:t>
      </w:r>
      <w:r w:rsidR="00AD0C46">
        <w:rPr>
          <w:b/>
          <w:bCs/>
          <w:caps/>
          <w:color w:val="E50000"/>
          <w:sz w:val="24"/>
          <w:szCs w:val="24"/>
        </w:rPr>
        <w:t>-</w:t>
      </w:r>
      <w:r>
        <w:rPr>
          <w:b/>
          <w:bCs/>
          <w:caps/>
          <w:color w:val="E50000"/>
          <w:sz w:val="24"/>
          <w:szCs w:val="24"/>
        </w:rPr>
        <w:t>Michel</w:t>
      </w:r>
    </w:p>
    <w:p w14:paraId="41808FEA" w14:textId="77777777" w:rsidR="001718D7" w:rsidRDefault="001718D7" w:rsidP="004658C0">
      <w:pPr>
        <w:pStyle w:val="labeur"/>
        <w:spacing w:before="57"/>
        <w:ind w:left="0" w:right="1978"/>
        <w:rPr>
          <w:b/>
          <w:bCs/>
          <w:sz w:val="24"/>
          <w:szCs w:val="24"/>
        </w:rPr>
      </w:pPr>
      <w:r>
        <w:rPr>
          <w:b/>
          <w:bCs/>
          <w:sz w:val="24"/>
          <w:szCs w:val="24"/>
        </w:rPr>
        <w:t>Le fleuve, lieu de biodiversité avant tout</w:t>
      </w:r>
    </w:p>
    <w:p w14:paraId="2095625A" w14:textId="77777777" w:rsidR="001718D7" w:rsidRDefault="001718D7" w:rsidP="004658C0">
      <w:pPr>
        <w:pStyle w:val="labeur"/>
        <w:spacing w:before="57"/>
        <w:ind w:left="0" w:right="1978"/>
        <w:rPr>
          <w:rFonts w:ascii="PT Sans" w:eastAsia="Overlock" w:hAnsi="PT Sans" w:cs="Overlock"/>
        </w:rPr>
      </w:pPr>
      <w:r>
        <w:rPr>
          <w:rFonts w:ascii="PT Sans" w:eastAsia="Overlock" w:hAnsi="PT Sans" w:cs="Overlock"/>
        </w:rPr>
        <w:t xml:space="preserve">Cheminement d’un espace de nature maitrisée vers une nature plus spontanée qui laisse place à une plus grande diversité des essences végétales et des espèces animales. </w:t>
      </w:r>
    </w:p>
    <w:p w14:paraId="31EE3A0C" w14:textId="1B3599C8" w:rsidR="006C6C04" w:rsidRPr="006C6C04" w:rsidRDefault="001718D7" w:rsidP="004658C0">
      <w:pPr>
        <w:pStyle w:val="labeur"/>
        <w:spacing w:before="57"/>
        <w:ind w:left="0" w:right="1978"/>
        <w:rPr>
          <w:rFonts w:ascii="PT Sans" w:eastAsia="Overlock" w:hAnsi="PT Sans" w:cs="Overlock"/>
        </w:rPr>
      </w:pPr>
      <w:r>
        <w:rPr>
          <w:rFonts w:ascii="PT Sans" w:eastAsia="Overlock" w:hAnsi="PT Sans" w:cs="Overlock"/>
        </w:rPr>
        <w:t xml:space="preserve">Observation des interactions homme / milieu. </w:t>
      </w:r>
    </w:p>
    <w:p w14:paraId="16F46DB1" w14:textId="77777777" w:rsidR="001718D7" w:rsidRDefault="001718D7" w:rsidP="004658C0">
      <w:pPr>
        <w:pStyle w:val="labeur"/>
        <w:spacing w:before="57"/>
        <w:ind w:left="0" w:right="1978"/>
      </w:pPr>
    </w:p>
    <w:p w14:paraId="59B80664" w14:textId="4A51E500" w:rsidR="001718D7" w:rsidRDefault="00B00FC7" w:rsidP="00E71915">
      <w:pPr>
        <w:ind w:left="1701" w:right="-6"/>
      </w:pPr>
      <w:r>
        <w:rPr>
          <w:noProof/>
        </w:rPr>
        <w:drawing>
          <wp:inline distT="0" distB="0" distL="0" distR="0" wp14:anchorId="15D609EE" wp14:editId="454A7A39">
            <wp:extent cx="2138495" cy="142307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a:extLst>
                        <a:ext uri="{28A0092B-C50C-407E-A947-70E740481C1C}">
                          <a14:useLocalDpi xmlns:a14="http://schemas.microsoft.com/office/drawing/2010/main" val="0"/>
                        </a:ext>
                      </a:extLst>
                    </a:blip>
                    <a:stretch>
                      <a:fillRect/>
                    </a:stretch>
                  </pic:blipFill>
                  <pic:spPr>
                    <a:xfrm>
                      <a:off x="0" y="0"/>
                      <a:ext cx="2308819" cy="1536416"/>
                    </a:xfrm>
                    <a:prstGeom prst="rect">
                      <a:avLst/>
                    </a:prstGeom>
                  </pic:spPr>
                </pic:pic>
              </a:graphicData>
            </a:graphic>
          </wp:inline>
        </w:drawing>
      </w:r>
      <w:r>
        <w:rPr>
          <w:noProof/>
        </w:rPr>
        <w:drawing>
          <wp:inline distT="0" distB="0" distL="0" distR="0" wp14:anchorId="2913E782" wp14:editId="63882813">
            <wp:extent cx="2136020" cy="1423073"/>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116" cy="1549053"/>
                    </a:xfrm>
                    <a:prstGeom prst="rect">
                      <a:avLst/>
                    </a:prstGeom>
                  </pic:spPr>
                </pic:pic>
              </a:graphicData>
            </a:graphic>
          </wp:inline>
        </w:drawing>
      </w:r>
      <w:r>
        <w:rPr>
          <w:noProof/>
        </w:rPr>
        <w:drawing>
          <wp:inline distT="0" distB="0" distL="0" distR="0" wp14:anchorId="299A265C" wp14:editId="1366F624">
            <wp:extent cx="4272251" cy="1883301"/>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49745" cy="2137873"/>
                    </a:xfrm>
                    <a:prstGeom prst="rect">
                      <a:avLst/>
                    </a:prstGeom>
                  </pic:spPr>
                </pic:pic>
              </a:graphicData>
            </a:graphic>
          </wp:inline>
        </w:drawing>
      </w:r>
    </w:p>
    <w:p w14:paraId="42CB1388" w14:textId="4F33612F" w:rsidR="00B00FC7" w:rsidRDefault="00B00FC7" w:rsidP="00E71915">
      <w:pPr>
        <w:ind w:left="1701" w:right="-6"/>
      </w:pPr>
      <w:r>
        <w:rPr>
          <w:noProof/>
        </w:rPr>
        <w:drawing>
          <wp:inline distT="0" distB="0" distL="0" distR="0" wp14:anchorId="5A8AC51F" wp14:editId="5A1447CD">
            <wp:extent cx="1501796" cy="1138132"/>
            <wp:effectExtent l="0" t="0" r="0" b="508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0961" cy="1251176"/>
                    </a:xfrm>
                    <a:prstGeom prst="rect">
                      <a:avLst/>
                    </a:prstGeom>
                  </pic:spPr>
                </pic:pic>
              </a:graphicData>
            </a:graphic>
          </wp:inline>
        </w:drawing>
      </w:r>
      <w:r w:rsidR="00E71915">
        <w:rPr>
          <w:noProof/>
        </w:rPr>
        <w:drawing>
          <wp:inline distT="0" distB="0" distL="0" distR="0" wp14:anchorId="4335F437" wp14:editId="3729AD28">
            <wp:extent cx="1490149" cy="1138021"/>
            <wp:effectExtent l="0" t="0" r="0" b="508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4195" cy="1301487"/>
                    </a:xfrm>
                    <a:prstGeom prst="rect">
                      <a:avLst/>
                    </a:prstGeom>
                  </pic:spPr>
                </pic:pic>
              </a:graphicData>
            </a:graphic>
          </wp:inline>
        </w:drawing>
      </w:r>
      <w:r w:rsidR="00E71915">
        <w:rPr>
          <w:noProof/>
        </w:rPr>
        <w:drawing>
          <wp:inline distT="0" distB="0" distL="0" distR="0" wp14:anchorId="09198694" wp14:editId="1E3B347F">
            <wp:extent cx="1270638" cy="113792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0059" cy="1298601"/>
                    </a:xfrm>
                    <a:prstGeom prst="rect">
                      <a:avLst/>
                    </a:prstGeom>
                  </pic:spPr>
                </pic:pic>
              </a:graphicData>
            </a:graphic>
          </wp:inline>
        </w:drawing>
      </w:r>
    </w:p>
    <w:p w14:paraId="01242B35" w14:textId="77777777" w:rsidR="006C6C04" w:rsidRDefault="006C6C04" w:rsidP="00E71915">
      <w:pPr>
        <w:ind w:left="1701" w:right="-6"/>
      </w:pPr>
    </w:p>
    <w:p w14:paraId="73FF3F66" w14:textId="5F2A86CD" w:rsidR="00E71915" w:rsidRPr="006C6C04" w:rsidRDefault="006C6C04" w:rsidP="006C6C04">
      <w:pPr>
        <w:ind w:right="702"/>
        <w:jc w:val="right"/>
        <w:rPr>
          <w:b/>
          <w:bCs/>
          <w:sz w:val="20"/>
          <w:szCs w:val="20"/>
        </w:rPr>
      </w:pPr>
      <w:r w:rsidRPr="006C6C04">
        <w:rPr>
          <w:b/>
          <w:bCs/>
          <w:sz w:val="20"/>
          <w:szCs w:val="20"/>
        </w:rPr>
        <w:t>Légende</w:t>
      </w:r>
    </w:p>
    <w:p w14:paraId="58A9DECF" w14:textId="77777777" w:rsidR="006C6C04" w:rsidRPr="006C6C04" w:rsidRDefault="006C6C04" w:rsidP="006C6C04">
      <w:pPr>
        <w:ind w:right="702"/>
        <w:jc w:val="right"/>
        <w:rPr>
          <w:sz w:val="20"/>
          <w:szCs w:val="20"/>
        </w:rPr>
      </w:pPr>
      <w:r w:rsidRPr="006C6C04">
        <w:rPr>
          <w:sz w:val="20"/>
          <w:szCs w:val="20"/>
        </w:rPr>
        <w:t>Haut</w:t>
      </w:r>
    </w:p>
    <w:p w14:paraId="7D825F41" w14:textId="7659CD03" w:rsidR="006C6C04" w:rsidRPr="006C6C04" w:rsidRDefault="006C6C04" w:rsidP="006C6C04">
      <w:pPr>
        <w:ind w:right="702"/>
        <w:jc w:val="right"/>
        <w:rPr>
          <w:i/>
          <w:iCs/>
          <w:sz w:val="20"/>
          <w:szCs w:val="20"/>
        </w:rPr>
      </w:pPr>
      <w:r w:rsidRPr="006C6C04">
        <w:rPr>
          <w:i/>
          <w:iCs/>
          <w:sz w:val="20"/>
          <w:szCs w:val="20"/>
        </w:rPr>
        <w:t xml:space="preserve">Chaussée du </w:t>
      </w:r>
      <w:proofErr w:type="spellStart"/>
      <w:r w:rsidRPr="006C6C04">
        <w:rPr>
          <w:i/>
          <w:iCs/>
          <w:sz w:val="20"/>
          <w:szCs w:val="20"/>
        </w:rPr>
        <w:t>Bazacle</w:t>
      </w:r>
      <w:proofErr w:type="spellEnd"/>
      <w:r w:rsidRPr="006C6C04">
        <w:rPr>
          <w:i/>
          <w:iCs/>
          <w:sz w:val="20"/>
          <w:szCs w:val="20"/>
        </w:rPr>
        <w:t xml:space="preserve"> / Digue Port Viguerie</w:t>
      </w:r>
    </w:p>
    <w:p w14:paraId="6E1AF3EF" w14:textId="054A9DC8" w:rsidR="006C6C04" w:rsidRPr="006C6C04" w:rsidRDefault="006C6C04" w:rsidP="006C6C04">
      <w:pPr>
        <w:ind w:right="702"/>
        <w:jc w:val="right"/>
        <w:rPr>
          <w:sz w:val="20"/>
          <w:szCs w:val="20"/>
        </w:rPr>
      </w:pPr>
      <w:r w:rsidRPr="006C6C04">
        <w:rPr>
          <w:sz w:val="20"/>
          <w:szCs w:val="20"/>
        </w:rPr>
        <w:t>Milieu</w:t>
      </w:r>
    </w:p>
    <w:p w14:paraId="1A93A40D" w14:textId="488DA1FF" w:rsidR="006C6C04" w:rsidRPr="006C6C04" w:rsidRDefault="006C6C04" w:rsidP="006C6C04">
      <w:pPr>
        <w:ind w:right="702"/>
        <w:jc w:val="right"/>
        <w:rPr>
          <w:i/>
          <w:iCs/>
          <w:sz w:val="20"/>
          <w:szCs w:val="20"/>
        </w:rPr>
      </w:pPr>
      <w:r w:rsidRPr="006C6C04">
        <w:rPr>
          <w:i/>
          <w:iCs/>
          <w:sz w:val="20"/>
          <w:szCs w:val="20"/>
        </w:rPr>
        <w:t>Port de la Daurade</w:t>
      </w:r>
    </w:p>
    <w:p w14:paraId="7C8C7F63" w14:textId="6AE96ABA" w:rsidR="006C6C04" w:rsidRPr="006C6C04" w:rsidRDefault="006C6C04" w:rsidP="006C6C04">
      <w:pPr>
        <w:ind w:right="702"/>
        <w:jc w:val="right"/>
        <w:rPr>
          <w:sz w:val="20"/>
          <w:szCs w:val="20"/>
        </w:rPr>
      </w:pPr>
      <w:r w:rsidRPr="006C6C04">
        <w:rPr>
          <w:sz w:val="20"/>
          <w:szCs w:val="20"/>
        </w:rPr>
        <w:t>Bas</w:t>
      </w:r>
    </w:p>
    <w:p w14:paraId="17B06094" w14:textId="72D6DE55" w:rsidR="006C6C04" w:rsidRPr="006C6C04" w:rsidRDefault="006C6C04" w:rsidP="006C6C04">
      <w:pPr>
        <w:ind w:right="702"/>
        <w:jc w:val="right"/>
        <w:rPr>
          <w:i/>
          <w:iCs/>
          <w:sz w:val="20"/>
          <w:szCs w:val="20"/>
        </w:rPr>
      </w:pPr>
      <w:r w:rsidRPr="006C6C04">
        <w:rPr>
          <w:i/>
          <w:iCs/>
          <w:sz w:val="20"/>
          <w:szCs w:val="20"/>
        </w:rPr>
        <w:t>Pont Neuf / Prairie des Filtres / Digue Av. de Muret</w:t>
      </w:r>
    </w:p>
    <w:sectPr w:rsidR="006C6C04" w:rsidRPr="006C6C04" w:rsidSect="00F63DF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PT Serif">
    <w:panose1 w:val="020A0603040505020204"/>
    <w:charset w:val="4D"/>
    <w:family w:val="roman"/>
    <w:pitch w:val="variable"/>
    <w:sig w:usb0="A00002EF" w:usb1="5000204B" w:usb2="00000000" w:usb3="00000000" w:csb0="00000097" w:csb1="00000000"/>
  </w:font>
  <w:font w:name="PT Sans">
    <w:panose1 w:val="020B0503020203020204"/>
    <w:charset w:val="4D"/>
    <w:family w:val="swiss"/>
    <w:pitch w:val="variable"/>
    <w:sig w:usb0="A00002EF" w:usb1="5000204B" w:usb2="00000000" w:usb3="00000000" w:csb0="00000097" w:csb1="00000000"/>
  </w:font>
  <w:font w:name="Overlock">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1BDC"/>
    <w:multiLevelType w:val="hybridMultilevel"/>
    <w:tmpl w:val="085A9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1717F2"/>
    <w:multiLevelType w:val="hybridMultilevel"/>
    <w:tmpl w:val="83EEB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DC617B"/>
    <w:multiLevelType w:val="hybridMultilevel"/>
    <w:tmpl w:val="FC6A0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7908586">
    <w:abstractNumId w:val="0"/>
  </w:num>
  <w:num w:numId="2" w16cid:durableId="1706636462">
    <w:abstractNumId w:val="2"/>
  </w:num>
  <w:num w:numId="3" w16cid:durableId="371536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D7"/>
    <w:rsid w:val="000703D6"/>
    <w:rsid w:val="001718D7"/>
    <w:rsid w:val="003925ED"/>
    <w:rsid w:val="004658C0"/>
    <w:rsid w:val="00645801"/>
    <w:rsid w:val="006C6C04"/>
    <w:rsid w:val="008D3F06"/>
    <w:rsid w:val="00AD0C46"/>
    <w:rsid w:val="00B00FC7"/>
    <w:rsid w:val="00E71915"/>
    <w:rsid w:val="00F63D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F688F01"/>
  <w15:chartTrackingRefBased/>
  <w15:docId w15:val="{7F031BB0-4E82-AC42-BFFE-71B974C9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abeur">
    <w:name w:val="labeur"/>
    <w:basedOn w:val="Normal"/>
    <w:uiPriority w:val="99"/>
    <w:rsid w:val="001718D7"/>
    <w:pPr>
      <w:autoSpaceDE w:val="0"/>
      <w:autoSpaceDN w:val="0"/>
      <w:adjustRightInd w:val="0"/>
      <w:spacing w:line="301" w:lineRule="atLeast"/>
      <w:ind w:left="737"/>
      <w:jc w:val="both"/>
      <w:textAlignment w:val="center"/>
    </w:pPr>
    <w:rPr>
      <w:rFonts w:ascii="Myriad Pro" w:eastAsia="Times New Roman" w:hAnsi="Myriad Pro" w:cs="Myriad Pro"/>
      <w:color w:val="000000"/>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374</Words>
  <Characters>2062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CAUE31 CAUE31</dc:creator>
  <cp:keywords/>
  <dc:description/>
  <cp:lastModifiedBy>CAUE31 CAUE31</cp:lastModifiedBy>
  <cp:revision>2</cp:revision>
  <cp:lastPrinted>2022-04-21T11:39:00Z</cp:lastPrinted>
  <dcterms:created xsi:type="dcterms:W3CDTF">2022-04-21T10:16:00Z</dcterms:created>
  <dcterms:modified xsi:type="dcterms:W3CDTF">2022-04-21T12:03:00Z</dcterms:modified>
</cp:coreProperties>
</file>